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jc w:val="center"/>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b w:val="0"/>
          <w:bCs w:val="0"/>
          <w:i w:val="0"/>
          <w:iCs w:val="0"/>
          <w:caps w:val="0"/>
          <w:color w:val="4C5157"/>
          <w:spacing w:val="0"/>
          <w:sz w:val="44"/>
          <w:szCs w:val="44"/>
          <w:u w:val="none"/>
          <w:shd w:val="clear" w:color="0C0000" w:fill="FFFFFF"/>
        </w:rPr>
        <w:t>海南省工业企业小升规奖励资金管理实施细则</w:t>
      </w:r>
    </w:p>
    <w:p>
      <w:pPr>
        <w:pStyle w:val="2"/>
        <w:widowControl/>
        <w:pBdr>
          <w:top w:val="none" w:color="auto" w:sz="0" w:space="0"/>
          <w:left w:val="none" w:color="auto" w:sz="0" w:space="0"/>
          <w:bottom w:val="none" w:color="auto" w:sz="0" w:space="0"/>
          <w:right w:val="none" w:color="auto" w:sz="0" w:space="0"/>
        </w:pBdr>
        <w:wordWrap/>
        <w:adjustRightInd/>
        <w:snapToGrid/>
        <w:spacing w:before="0" w:beforeAutospacing="0" w:after="422" w:afterAutospacing="0" w:line="23" w:lineRule="atLeast"/>
        <w:ind w:left="0" w:leftChars="0" w:right="0" w:firstLine="0" w:firstLineChars="0"/>
        <w:jc w:val="center"/>
        <w:textAlignment w:val="auto"/>
        <w:outlineLvl w:val="9"/>
        <w:rPr>
          <w:rFonts w:hint="eastAsia" w:ascii="黑体" w:hAnsi="黑体" w:eastAsia="黑体" w:cs="黑体"/>
          <w:b w:val="0"/>
          <w:bCs w:val="0"/>
          <w:i w:val="0"/>
          <w:iCs w:val="0"/>
          <w:caps w:val="0"/>
          <w:color w:val="4C5157"/>
          <w:spacing w:val="0"/>
          <w:sz w:val="32"/>
          <w:szCs w:val="32"/>
          <w:u w:val="none"/>
          <w:shd w:val="clear" w:color="0C0000" w:fill="FFFFFF"/>
        </w:rPr>
      </w:pPr>
      <w:r>
        <w:rPr>
          <w:rFonts w:hint="eastAsia" w:ascii="黑体" w:hAnsi="黑体" w:eastAsia="黑体" w:cs="黑体"/>
          <w:b w:val="0"/>
          <w:bCs w:val="0"/>
          <w:i w:val="0"/>
          <w:iCs w:val="0"/>
          <w:caps w:val="0"/>
          <w:color w:val="4C5157"/>
          <w:spacing w:val="0"/>
          <w:sz w:val="32"/>
          <w:szCs w:val="32"/>
          <w:u w:val="none"/>
          <w:shd w:val="clear" w:color="0C0000" w:fill="FFFFFF"/>
        </w:rPr>
        <w:t>第一章  总则</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仿宋_GB2312" w:hAnsi="仿宋_GB2312" w:eastAsia="仿宋_GB2312" w:cs="仿宋_GB2312"/>
          <w:sz w:val="32"/>
          <w:szCs w:val="32"/>
          <w:u w:val="none"/>
        </w:rPr>
      </w:pPr>
      <w:r>
        <w:rPr>
          <w:rFonts w:hint="eastAsia" w:ascii="黑体" w:hAnsi="黑体" w:eastAsia="黑体" w:cs="黑体"/>
          <w:i w:val="0"/>
          <w:iCs w:val="0"/>
          <w:caps w:val="0"/>
          <w:color w:val="4C5157"/>
          <w:spacing w:val="0"/>
          <w:sz w:val="32"/>
          <w:szCs w:val="32"/>
          <w:u w:val="none"/>
          <w:shd w:val="clear" w:color="0A0000" w:fill="FFFFFF"/>
        </w:rPr>
        <w:t>第一条</w:t>
      </w:r>
      <w:r>
        <w:rPr>
          <w:rFonts w:hint="eastAsia" w:ascii="仿宋_GB2312" w:hAnsi="仿宋_GB2312" w:eastAsia="仿宋_GB2312" w:cs="仿宋_GB2312"/>
          <w:i w:val="0"/>
          <w:iCs w:val="0"/>
          <w:caps w:val="0"/>
          <w:color w:val="4C5157"/>
          <w:spacing w:val="0"/>
          <w:sz w:val="32"/>
          <w:szCs w:val="32"/>
          <w:u w:val="none"/>
          <w:shd w:val="clear" w:color="0A0000" w:fill="FFFFFF"/>
        </w:rPr>
        <w:t> 为充分发挥财政资金对规模以下升规模以上工业企业（以下简称“小升规”）的激励作用，根据《海南省人民政府办公厅关于印发海南省促进经济高质量发展若干财政措施的通知》（琼府办〔2021〕65号）《海南省财政厅关于印发海南省促进经济高质量发展资金管理办法的通知》（琼财建〔2021〕961号），制定本实施细则。</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仿宋_GB2312" w:hAnsi="仿宋_GB2312" w:eastAsia="仿宋_GB2312" w:cs="仿宋_GB2312"/>
          <w:sz w:val="32"/>
          <w:szCs w:val="32"/>
          <w:u w:val="none"/>
        </w:rPr>
      </w:pPr>
      <w:r>
        <w:rPr>
          <w:rFonts w:hint="eastAsia" w:ascii="黑体" w:hAnsi="黑体" w:eastAsia="黑体" w:cs="黑体"/>
          <w:i w:val="0"/>
          <w:iCs w:val="0"/>
          <w:caps w:val="0"/>
          <w:color w:val="4C5157"/>
          <w:spacing w:val="0"/>
          <w:sz w:val="32"/>
          <w:szCs w:val="32"/>
          <w:u w:val="none"/>
          <w:shd w:val="clear" w:color="0A0000" w:fill="FFFFFF"/>
        </w:rPr>
        <w:t>第二条</w:t>
      </w:r>
      <w:r>
        <w:rPr>
          <w:rFonts w:hint="eastAsia" w:ascii="仿宋_GB2312" w:hAnsi="仿宋_GB2312" w:eastAsia="仿宋_GB2312" w:cs="仿宋_GB2312"/>
          <w:i w:val="0"/>
          <w:iCs w:val="0"/>
          <w:caps w:val="0"/>
          <w:color w:val="4C5157"/>
          <w:spacing w:val="0"/>
          <w:sz w:val="32"/>
          <w:szCs w:val="32"/>
          <w:u w:val="none"/>
          <w:shd w:val="clear" w:color="0A0000" w:fill="FFFFFF"/>
        </w:rPr>
        <w:t> 本实施细则所称海南省工业企业小升规奖励资金（以下简称“奖励资金”），是指省财政预算在“促进经济高质量发展资金”中安排用于奖励工业企业首次升规纳统的资金。</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仿宋_GB2312" w:hAnsi="仿宋_GB2312" w:eastAsia="仿宋_GB2312" w:cs="仿宋_GB2312"/>
          <w:sz w:val="32"/>
          <w:szCs w:val="32"/>
          <w:u w:val="none"/>
        </w:rPr>
      </w:pPr>
      <w:r>
        <w:rPr>
          <w:rFonts w:hint="eastAsia" w:ascii="黑体" w:hAnsi="黑体" w:eastAsia="黑体" w:cs="黑体"/>
          <w:i w:val="0"/>
          <w:iCs w:val="0"/>
          <w:caps w:val="0"/>
          <w:color w:val="4C5157"/>
          <w:spacing w:val="0"/>
          <w:sz w:val="32"/>
          <w:szCs w:val="32"/>
          <w:u w:val="none"/>
          <w:shd w:val="clear" w:color="0A0000" w:fill="FFFFFF"/>
        </w:rPr>
        <w:t>第三条</w:t>
      </w:r>
      <w:r>
        <w:rPr>
          <w:rFonts w:hint="eastAsia" w:ascii="仿宋_GB2312" w:hAnsi="仿宋_GB2312" w:eastAsia="仿宋_GB2312" w:cs="仿宋_GB2312"/>
          <w:i w:val="0"/>
          <w:iCs w:val="0"/>
          <w:caps w:val="0"/>
          <w:color w:val="4C5157"/>
          <w:spacing w:val="0"/>
          <w:sz w:val="32"/>
          <w:szCs w:val="32"/>
          <w:u w:val="none"/>
          <w:shd w:val="clear" w:color="0A0000" w:fill="FFFFFF"/>
        </w:rPr>
        <w:t> 省工业和信息化厅负责制定明细分配方案，对资金申请单位进行遴选、审核、公示等申报审核管理工作。</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仿宋_GB2312" w:hAnsi="仿宋_GB2312" w:eastAsia="仿宋_GB2312" w:cs="仿宋_GB2312"/>
          <w:sz w:val="32"/>
          <w:szCs w:val="32"/>
          <w:u w:val="none"/>
        </w:rPr>
      </w:pPr>
      <w:r>
        <w:rPr>
          <w:rFonts w:hint="eastAsia" w:ascii="黑体" w:hAnsi="黑体" w:eastAsia="黑体" w:cs="黑体"/>
          <w:i w:val="0"/>
          <w:iCs w:val="0"/>
          <w:caps w:val="0"/>
          <w:color w:val="4C5157"/>
          <w:spacing w:val="0"/>
          <w:sz w:val="32"/>
          <w:szCs w:val="32"/>
          <w:u w:val="none"/>
          <w:shd w:val="clear" w:color="0A0000" w:fill="FFFFFF"/>
        </w:rPr>
        <w:t>第四条</w:t>
      </w:r>
      <w:r>
        <w:rPr>
          <w:rFonts w:hint="eastAsia" w:ascii="仿宋_GB2312" w:hAnsi="仿宋_GB2312" w:eastAsia="仿宋_GB2312" w:cs="仿宋_GB2312"/>
          <w:i w:val="0"/>
          <w:iCs w:val="0"/>
          <w:caps w:val="0"/>
          <w:color w:val="4C5157"/>
          <w:spacing w:val="0"/>
          <w:sz w:val="32"/>
          <w:szCs w:val="32"/>
          <w:u w:val="none"/>
          <w:shd w:val="clear" w:color="0A0000" w:fill="FFFFFF"/>
        </w:rPr>
        <w:t> 省财政厅负责奖励资金的预算安排和管理、审核下达、绩效评估和监督检查。</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仿宋_GB2312" w:hAnsi="仿宋_GB2312" w:eastAsia="仿宋_GB2312" w:cs="仿宋_GB2312"/>
          <w:sz w:val="32"/>
          <w:szCs w:val="32"/>
          <w:u w:val="none"/>
        </w:rPr>
      </w:pPr>
      <w:r>
        <w:rPr>
          <w:rFonts w:hint="eastAsia" w:ascii="黑体" w:hAnsi="黑体" w:eastAsia="黑体" w:cs="黑体"/>
          <w:i w:val="0"/>
          <w:iCs w:val="0"/>
          <w:caps w:val="0"/>
          <w:color w:val="4C5157"/>
          <w:spacing w:val="0"/>
          <w:sz w:val="32"/>
          <w:szCs w:val="32"/>
          <w:u w:val="none"/>
          <w:shd w:val="clear" w:color="0A0000" w:fill="FFFFFF"/>
        </w:rPr>
        <w:t>第五条</w:t>
      </w:r>
      <w:r>
        <w:rPr>
          <w:rFonts w:hint="eastAsia" w:ascii="仿宋_GB2312" w:hAnsi="仿宋_GB2312" w:eastAsia="仿宋_GB2312" w:cs="仿宋_GB2312"/>
          <w:i w:val="0"/>
          <w:iCs w:val="0"/>
          <w:caps w:val="0"/>
          <w:color w:val="4C5157"/>
          <w:spacing w:val="0"/>
          <w:sz w:val="32"/>
          <w:szCs w:val="32"/>
          <w:u w:val="none"/>
          <w:shd w:val="clear" w:color="0A0000" w:fill="FFFFFF"/>
        </w:rPr>
        <w:t> 申报单位对奖励资金真实申报、合规和有效使用承担主体责任。</w:t>
      </w:r>
    </w:p>
    <w:p>
      <w:pPr>
        <w:pStyle w:val="2"/>
        <w:widowControl/>
        <w:pBdr>
          <w:top w:val="none" w:color="auto" w:sz="0" w:space="0"/>
          <w:left w:val="none" w:color="auto" w:sz="0" w:space="0"/>
          <w:bottom w:val="none" w:color="auto" w:sz="0" w:space="0"/>
          <w:right w:val="none" w:color="auto" w:sz="0" w:space="0"/>
        </w:pBdr>
        <w:wordWrap/>
        <w:adjustRightInd/>
        <w:snapToGrid/>
        <w:spacing w:before="0" w:beforeAutospacing="0" w:after="422" w:afterAutospacing="0" w:line="23" w:lineRule="atLeast"/>
        <w:ind w:left="0" w:leftChars="0" w:right="0" w:firstLine="0" w:firstLineChars="0"/>
        <w:jc w:val="center"/>
        <w:textAlignment w:val="auto"/>
        <w:outlineLvl w:val="9"/>
        <w:rPr>
          <w:rFonts w:hint="eastAsia" w:ascii="黑体" w:hAnsi="黑体" w:eastAsia="黑体" w:cs="黑体"/>
          <w:b w:val="0"/>
          <w:bCs w:val="0"/>
          <w:i w:val="0"/>
          <w:iCs w:val="0"/>
          <w:caps w:val="0"/>
          <w:color w:val="4C5157"/>
          <w:spacing w:val="0"/>
          <w:sz w:val="32"/>
          <w:szCs w:val="32"/>
          <w:u w:val="none"/>
          <w:shd w:val="clear" w:color="0C0000" w:fill="FFFFFF"/>
        </w:rPr>
      </w:pPr>
      <w:r>
        <w:rPr>
          <w:rFonts w:hint="eastAsia" w:ascii="黑体" w:hAnsi="黑体" w:eastAsia="黑体" w:cs="黑体"/>
          <w:b w:val="0"/>
          <w:bCs w:val="0"/>
          <w:i w:val="0"/>
          <w:iCs w:val="0"/>
          <w:caps w:val="0"/>
          <w:color w:val="4C5157"/>
          <w:spacing w:val="0"/>
          <w:sz w:val="32"/>
          <w:szCs w:val="32"/>
          <w:u w:val="none"/>
          <w:shd w:val="clear" w:color="0C0000" w:fill="FFFFFF"/>
        </w:rPr>
        <w:t>第</w:t>
      </w:r>
      <w:r>
        <w:rPr>
          <w:rFonts w:hint="eastAsia" w:ascii="黑体" w:hAnsi="黑体" w:eastAsia="黑体" w:cs="黑体"/>
          <w:b w:val="0"/>
          <w:bCs w:val="0"/>
          <w:i w:val="0"/>
          <w:iCs w:val="0"/>
          <w:caps w:val="0"/>
          <w:color w:val="4C5157"/>
          <w:spacing w:val="0"/>
          <w:sz w:val="32"/>
          <w:szCs w:val="32"/>
          <w:u w:val="none"/>
          <w:shd w:val="clear" w:color="0C0000" w:fill="FFFFFF"/>
        </w:rPr>
        <w:t>二章  奖励对象、方式与标准</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仿宋_GB2312" w:hAnsi="仿宋_GB2312" w:eastAsia="仿宋_GB2312" w:cs="仿宋_GB2312"/>
          <w:sz w:val="32"/>
          <w:szCs w:val="32"/>
          <w:u w:val="none"/>
        </w:rPr>
      </w:pPr>
      <w:r>
        <w:rPr>
          <w:rFonts w:hint="eastAsia" w:ascii="黑体" w:hAnsi="黑体" w:eastAsia="黑体" w:cs="黑体"/>
          <w:i w:val="0"/>
          <w:iCs w:val="0"/>
          <w:caps w:val="0"/>
          <w:color w:val="4C5157"/>
          <w:spacing w:val="0"/>
          <w:sz w:val="32"/>
          <w:szCs w:val="32"/>
          <w:u w:val="none"/>
          <w:shd w:val="clear" w:color="0A0000" w:fill="FFFFFF"/>
        </w:rPr>
        <w:t>第六条</w:t>
      </w:r>
      <w:r>
        <w:rPr>
          <w:rFonts w:hint="eastAsia" w:ascii="仿宋_GB2312" w:hAnsi="仿宋_GB2312" w:eastAsia="仿宋_GB2312" w:cs="仿宋_GB2312"/>
          <w:i w:val="0"/>
          <w:iCs w:val="0"/>
          <w:caps w:val="0"/>
          <w:color w:val="4C5157"/>
          <w:spacing w:val="0"/>
          <w:sz w:val="32"/>
          <w:szCs w:val="32"/>
          <w:u w:val="none"/>
          <w:shd w:val="clear" w:color="0A0000" w:fill="FFFFFF"/>
        </w:rPr>
        <w:t> 申报单位应满足以下条件：</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仿宋_GB2312" w:hAnsi="仿宋_GB2312" w:eastAsia="仿宋_GB2312" w:cs="仿宋_GB2312"/>
          <w:sz w:val="32"/>
          <w:szCs w:val="32"/>
          <w:u w:val="none"/>
        </w:rPr>
      </w:pPr>
      <w:r>
        <w:rPr>
          <w:rFonts w:hint="eastAsia" w:ascii="仿宋_GB2312" w:hAnsi="仿宋_GB2312" w:eastAsia="仿宋_GB2312" w:cs="仿宋_GB2312"/>
          <w:i w:val="0"/>
          <w:iCs w:val="0"/>
          <w:caps w:val="0"/>
          <w:color w:val="4C5157"/>
          <w:spacing w:val="0"/>
          <w:sz w:val="32"/>
          <w:szCs w:val="32"/>
          <w:u w:val="none"/>
          <w:shd w:val="clear" w:color="0A0000" w:fill="FFFFFF"/>
        </w:rPr>
        <w:t>（一）在海南生产经营的小微型工业企业；</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仿宋_GB2312" w:hAnsi="仿宋_GB2312" w:eastAsia="仿宋_GB2312" w:cs="仿宋_GB2312"/>
          <w:sz w:val="32"/>
          <w:szCs w:val="32"/>
          <w:u w:val="none"/>
        </w:rPr>
      </w:pPr>
      <w:r>
        <w:rPr>
          <w:rFonts w:hint="eastAsia" w:ascii="仿宋_GB2312" w:hAnsi="仿宋_GB2312" w:eastAsia="仿宋_GB2312" w:cs="仿宋_GB2312"/>
          <w:i w:val="0"/>
          <w:iCs w:val="0"/>
          <w:caps w:val="0"/>
          <w:color w:val="4C5157"/>
          <w:spacing w:val="0"/>
          <w:sz w:val="32"/>
          <w:szCs w:val="32"/>
          <w:u w:val="none"/>
          <w:shd w:val="clear" w:color="0A0000" w:fill="FFFFFF"/>
        </w:rPr>
        <w:t>（二）申报时未纳入国家企业信用信息公示系统经营异常名录、信用中国网严重失信主体名单，无欠缴税款；</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仿宋_GB2312" w:hAnsi="仿宋_GB2312" w:eastAsia="仿宋_GB2312" w:cs="仿宋_GB2312"/>
          <w:sz w:val="32"/>
          <w:szCs w:val="32"/>
          <w:u w:val="none"/>
        </w:rPr>
      </w:pPr>
      <w:r>
        <w:rPr>
          <w:rFonts w:hint="eastAsia" w:ascii="仿宋_GB2312" w:hAnsi="仿宋_GB2312" w:eastAsia="仿宋_GB2312" w:cs="仿宋_GB2312"/>
          <w:i w:val="0"/>
          <w:iCs w:val="0"/>
          <w:caps w:val="0"/>
          <w:color w:val="4C5157"/>
          <w:spacing w:val="0"/>
          <w:sz w:val="32"/>
          <w:szCs w:val="32"/>
          <w:u w:val="none"/>
          <w:shd w:val="clear" w:color="0A0000" w:fill="FFFFFF"/>
        </w:rPr>
        <w:t>（三）申报单位从2021年起首次升规纳入海南省统计，且生产经营情况正常，正常联网直报统计数据；</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仿宋_GB2312" w:hAnsi="仿宋_GB2312" w:eastAsia="仿宋_GB2312" w:cs="仿宋_GB2312"/>
          <w:sz w:val="32"/>
          <w:szCs w:val="32"/>
          <w:u w:val="none"/>
        </w:rPr>
      </w:pPr>
      <w:r>
        <w:rPr>
          <w:rFonts w:hint="eastAsia" w:ascii="仿宋_GB2312" w:hAnsi="仿宋_GB2312" w:eastAsia="仿宋_GB2312" w:cs="仿宋_GB2312"/>
          <w:i w:val="0"/>
          <w:iCs w:val="0"/>
          <w:caps w:val="0"/>
          <w:color w:val="4C5157"/>
          <w:spacing w:val="0"/>
          <w:sz w:val="32"/>
          <w:szCs w:val="32"/>
          <w:u w:val="none"/>
          <w:shd w:val="clear" w:color="0A0000" w:fill="FFFFFF"/>
        </w:rPr>
        <w:t>（四）申报通知或指南明确的其他条件。</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仿宋_GB2312" w:hAnsi="仿宋_GB2312" w:eastAsia="仿宋_GB2312" w:cs="仿宋_GB2312"/>
          <w:sz w:val="32"/>
          <w:szCs w:val="32"/>
          <w:u w:val="none"/>
        </w:rPr>
      </w:pPr>
      <w:r>
        <w:rPr>
          <w:rFonts w:hint="eastAsia" w:ascii="黑体" w:hAnsi="黑体" w:eastAsia="黑体" w:cs="黑体"/>
          <w:i w:val="0"/>
          <w:iCs w:val="0"/>
          <w:caps w:val="0"/>
          <w:color w:val="4C5157"/>
          <w:spacing w:val="0"/>
          <w:sz w:val="32"/>
          <w:szCs w:val="32"/>
          <w:u w:val="none"/>
          <w:shd w:val="clear" w:color="0A0000" w:fill="FFFFFF"/>
        </w:rPr>
        <w:t>第七条</w:t>
      </w:r>
      <w:r>
        <w:rPr>
          <w:rFonts w:hint="eastAsia" w:ascii="仿宋_GB2312" w:hAnsi="仿宋_GB2312" w:eastAsia="仿宋_GB2312" w:cs="仿宋_GB2312"/>
          <w:i w:val="0"/>
          <w:iCs w:val="0"/>
          <w:caps w:val="0"/>
          <w:color w:val="4C5157"/>
          <w:spacing w:val="0"/>
          <w:sz w:val="32"/>
          <w:szCs w:val="32"/>
          <w:u w:val="none"/>
          <w:shd w:val="clear" w:color="0A0000" w:fill="FFFFFF"/>
        </w:rPr>
        <w:t> 奖励资金采取事后奖补，自2022年起每年对上一年度升规纳统的企业给予奖励。</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仿宋_GB2312" w:hAnsi="仿宋_GB2312" w:eastAsia="仿宋_GB2312" w:cs="仿宋_GB2312"/>
          <w:sz w:val="32"/>
          <w:szCs w:val="32"/>
          <w:u w:val="none"/>
        </w:rPr>
      </w:pPr>
      <w:r>
        <w:rPr>
          <w:rFonts w:hint="eastAsia" w:ascii="仿宋_GB2312" w:hAnsi="仿宋_GB2312" w:eastAsia="仿宋_GB2312" w:cs="仿宋_GB2312"/>
          <w:i w:val="0"/>
          <w:iCs w:val="0"/>
          <w:caps w:val="0"/>
          <w:color w:val="4C5157"/>
          <w:spacing w:val="0"/>
          <w:sz w:val="32"/>
          <w:szCs w:val="32"/>
          <w:u w:val="none"/>
          <w:shd w:val="clear" w:color="0A0000" w:fill="FFFFFF"/>
        </w:rPr>
        <w:t>（一）对首次升规纳入海南省统计的工业企业,给予企业管理团队10万元奖励；</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仿宋_GB2312" w:hAnsi="仿宋_GB2312" w:eastAsia="仿宋_GB2312" w:cs="仿宋_GB2312"/>
          <w:sz w:val="32"/>
          <w:szCs w:val="32"/>
          <w:u w:val="none"/>
        </w:rPr>
      </w:pPr>
      <w:r>
        <w:rPr>
          <w:rFonts w:hint="eastAsia" w:ascii="仿宋_GB2312" w:hAnsi="仿宋_GB2312" w:eastAsia="仿宋_GB2312" w:cs="仿宋_GB2312"/>
          <w:i w:val="0"/>
          <w:iCs w:val="0"/>
          <w:caps w:val="0"/>
          <w:color w:val="4C5157"/>
          <w:spacing w:val="0"/>
          <w:sz w:val="32"/>
          <w:szCs w:val="32"/>
          <w:u w:val="none"/>
          <w:shd w:val="clear" w:color="0A0000" w:fill="FFFFFF"/>
        </w:rPr>
        <w:t>（二）对首次升规纳统后三年内不降规的,再给予企业管理团队10万元奖励。</w:t>
      </w:r>
    </w:p>
    <w:p>
      <w:pPr>
        <w:pStyle w:val="2"/>
        <w:widowControl/>
        <w:pBdr>
          <w:top w:val="none" w:color="auto" w:sz="0" w:space="0"/>
          <w:left w:val="none" w:color="auto" w:sz="0" w:space="0"/>
          <w:bottom w:val="none" w:color="auto" w:sz="0" w:space="0"/>
          <w:right w:val="none" w:color="auto" w:sz="0" w:space="0"/>
        </w:pBdr>
        <w:wordWrap/>
        <w:adjustRightInd/>
        <w:snapToGrid/>
        <w:spacing w:before="0" w:beforeAutospacing="0" w:after="422" w:afterAutospacing="0" w:line="23" w:lineRule="atLeast"/>
        <w:ind w:left="0" w:leftChars="0" w:right="0" w:firstLine="0" w:firstLineChars="0"/>
        <w:jc w:val="center"/>
        <w:textAlignment w:val="auto"/>
        <w:outlineLvl w:val="9"/>
        <w:rPr>
          <w:rFonts w:hint="eastAsia" w:ascii="黑体" w:hAnsi="黑体" w:eastAsia="黑体" w:cs="黑体"/>
          <w:b w:val="0"/>
          <w:bCs w:val="0"/>
          <w:i w:val="0"/>
          <w:iCs w:val="0"/>
          <w:caps w:val="0"/>
          <w:color w:val="4C5157"/>
          <w:spacing w:val="0"/>
          <w:sz w:val="32"/>
          <w:szCs w:val="32"/>
          <w:u w:val="none"/>
          <w:shd w:val="clear" w:color="0C0000" w:fill="FFFFFF"/>
        </w:rPr>
      </w:pPr>
      <w:r>
        <w:rPr>
          <w:rFonts w:hint="eastAsia" w:ascii="黑体" w:hAnsi="黑体" w:eastAsia="黑体" w:cs="黑体"/>
          <w:b w:val="0"/>
          <w:bCs w:val="0"/>
          <w:i w:val="0"/>
          <w:iCs w:val="0"/>
          <w:caps w:val="0"/>
          <w:color w:val="4C5157"/>
          <w:spacing w:val="0"/>
          <w:sz w:val="32"/>
          <w:szCs w:val="32"/>
          <w:u w:val="none"/>
          <w:shd w:val="clear" w:color="0C0000" w:fill="FFFFFF"/>
        </w:rPr>
        <w:t>第三章 申报程序</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仿宋_GB2312" w:hAnsi="仿宋_GB2312" w:eastAsia="仿宋_GB2312" w:cs="仿宋_GB2312"/>
          <w:sz w:val="32"/>
          <w:szCs w:val="32"/>
          <w:u w:val="none"/>
        </w:rPr>
      </w:pPr>
      <w:r>
        <w:rPr>
          <w:rFonts w:hint="eastAsia" w:ascii="黑体" w:hAnsi="黑体" w:eastAsia="黑体" w:cs="黑体"/>
          <w:i w:val="0"/>
          <w:iCs w:val="0"/>
          <w:caps w:val="0"/>
          <w:color w:val="4C5157"/>
          <w:spacing w:val="0"/>
          <w:sz w:val="32"/>
          <w:szCs w:val="32"/>
          <w:u w:val="none"/>
          <w:shd w:val="clear" w:color="0A0000" w:fill="FFFFFF"/>
        </w:rPr>
        <w:t>第八条</w:t>
      </w:r>
      <w:r>
        <w:rPr>
          <w:rFonts w:hint="eastAsia" w:ascii="仿宋_GB2312" w:hAnsi="仿宋_GB2312" w:eastAsia="仿宋_GB2312" w:cs="仿宋_GB2312"/>
          <w:i w:val="0"/>
          <w:iCs w:val="0"/>
          <w:caps w:val="0"/>
          <w:color w:val="4C5157"/>
          <w:spacing w:val="0"/>
          <w:sz w:val="32"/>
          <w:szCs w:val="32"/>
          <w:u w:val="none"/>
          <w:shd w:val="clear" w:color="0A0000" w:fill="FFFFFF"/>
        </w:rPr>
        <w:t> 申报程序</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仿宋_GB2312" w:hAnsi="仿宋_GB2312" w:eastAsia="仿宋_GB2312" w:cs="仿宋_GB2312"/>
          <w:sz w:val="32"/>
          <w:szCs w:val="32"/>
          <w:u w:val="none"/>
        </w:rPr>
      </w:pPr>
      <w:r>
        <w:rPr>
          <w:rFonts w:hint="eastAsia" w:ascii="仿宋_GB2312" w:hAnsi="仿宋_GB2312" w:eastAsia="仿宋_GB2312" w:cs="仿宋_GB2312"/>
          <w:i w:val="0"/>
          <w:iCs w:val="0"/>
          <w:caps w:val="0"/>
          <w:color w:val="4C5157"/>
          <w:spacing w:val="0"/>
          <w:sz w:val="32"/>
          <w:szCs w:val="32"/>
          <w:u w:val="none"/>
          <w:shd w:val="clear" w:color="0A0000" w:fill="FFFFFF"/>
        </w:rPr>
        <w:t>（一）申请。</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仿宋_GB2312" w:hAnsi="仿宋_GB2312" w:eastAsia="仿宋_GB2312" w:cs="仿宋_GB2312"/>
          <w:sz w:val="32"/>
          <w:szCs w:val="32"/>
          <w:u w:val="none"/>
        </w:rPr>
      </w:pPr>
      <w:r>
        <w:rPr>
          <w:rFonts w:hint="eastAsia" w:ascii="仿宋_GB2312" w:hAnsi="仿宋_GB2312" w:eastAsia="仿宋_GB2312" w:cs="仿宋_GB2312"/>
          <w:i w:val="0"/>
          <w:iCs w:val="0"/>
          <w:caps w:val="0"/>
          <w:color w:val="4C5157"/>
          <w:spacing w:val="0"/>
          <w:sz w:val="32"/>
          <w:szCs w:val="32"/>
          <w:u w:val="none"/>
          <w:shd w:val="clear" w:color="0A0000" w:fill="FFFFFF"/>
        </w:rPr>
        <w:t>1.省工业和信息化厅印发申报通知，各市县工信主管部门组织企业申报；</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仿宋_GB2312" w:hAnsi="仿宋_GB2312" w:eastAsia="仿宋_GB2312" w:cs="仿宋_GB2312"/>
          <w:sz w:val="32"/>
          <w:szCs w:val="32"/>
          <w:u w:val="none"/>
        </w:rPr>
      </w:pPr>
      <w:r>
        <w:rPr>
          <w:rFonts w:hint="eastAsia" w:ascii="仿宋_GB2312" w:hAnsi="仿宋_GB2312" w:eastAsia="仿宋_GB2312" w:cs="仿宋_GB2312"/>
          <w:i w:val="0"/>
          <w:iCs w:val="0"/>
          <w:caps w:val="0"/>
          <w:color w:val="4C5157"/>
          <w:spacing w:val="0"/>
          <w:sz w:val="32"/>
          <w:szCs w:val="32"/>
          <w:u w:val="none"/>
          <w:shd w:val="clear" w:color="0A0000" w:fill="FFFFFF"/>
        </w:rPr>
        <w:t>2.申报单位将申报材料报送省工业和信息化厅。</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仿宋_GB2312" w:hAnsi="仿宋_GB2312" w:eastAsia="仿宋_GB2312" w:cs="仿宋_GB2312"/>
          <w:sz w:val="32"/>
          <w:szCs w:val="32"/>
          <w:u w:val="none"/>
        </w:rPr>
      </w:pPr>
      <w:r>
        <w:rPr>
          <w:rFonts w:hint="eastAsia" w:ascii="仿宋_GB2312" w:hAnsi="仿宋_GB2312" w:eastAsia="仿宋_GB2312" w:cs="仿宋_GB2312"/>
          <w:i w:val="0"/>
          <w:iCs w:val="0"/>
          <w:caps w:val="0"/>
          <w:color w:val="4C5157"/>
          <w:spacing w:val="0"/>
          <w:sz w:val="32"/>
          <w:szCs w:val="32"/>
          <w:u w:val="none"/>
          <w:shd w:val="clear" w:color="0A0000" w:fill="FFFFFF"/>
        </w:rPr>
        <w:t>（二）审核。省工业和信息化厅核查申报单位升规纳统情况，审核通过后，确定予以支持的单位和资金奖励额度。</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仿宋_GB2312" w:hAnsi="仿宋_GB2312" w:eastAsia="仿宋_GB2312" w:cs="仿宋_GB2312"/>
          <w:sz w:val="32"/>
          <w:szCs w:val="32"/>
          <w:u w:val="none"/>
        </w:rPr>
      </w:pPr>
      <w:r>
        <w:rPr>
          <w:rFonts w:hint="eastAsia" w:ascii="仿宋_GB2312" w:hAnsi="仿宋_GB2312" w:eastAsia="仿宋_GB2312" w:cs="仿宋_GB2312"/>
          <w:i w:val="0"/>
          <w:iCs w:val="0"/>
          <w:caps w:val="0"/>
          <w:color w:val="4C5157"/>
          <w:spacing w:val="0"/>
          <w:sz w:val="32"/>
          <w:szCs w:val="32"/>
          <w:u w:val="none"/>
          <w:shd w:val="clear" w:color="0A0000" w:fill="FFFFFF"/>
        </w:rPr>
        <w:t>（三）公示。审核结果在省工业和信息化厅门户网站和“海易兑”海南省惠企政策兑现服务系统向社会公示，公示期为5个工作日。</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仿宋_GB2312" w:hAnsi="仿宋_GB2312" w:eastAsia="仿宋_GB2312" w:cs="仿宋_GB2312"/>
          <w:sz w:val="32"/>
          <w:szCs w:val="32"/>
          <w:u w:val="none"/>
        </w:rPr>
      </w:pPr>
      <w:r>
        <w:rPr>
          <w:rFonts w:hint="eastAsia" w:ascii="仿宋_GB2312" w:hAnsi="仿宋_GB2312" w:eastAsia="仿宋_GB2312" w:cs="仿宋_GB2312"/>
          <w:i w:val="0"/>
          <w:iCs w:val="0"/>
          <w:caps w:val="0"/>
          <w:color w:val="4C5157"/>
          <w:spacing w:val="0"/>
          <w:sz w:val="32"/>
          <w:szCs w:val="32"/>
          <w:u w:val="none"/>
          <w:shd w:val="clear" w:color="0A0000" w:fill="FFFFFF"/>
        </w:rPr>
        <w:t>（四）资金拨付。公示无异议后，省工业和信息化厅按相关程序申请核拨经费。</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仿宋_GB2312" w:hAnsi="仿宋_GB2312" w:eastAsia="仿宋_GB2312" w:cs="仿宋_GB2312"/>
          <w:sz w:val="32"/>
          <w:szCs w:val="32"/>
          <w:u w:val="none"/>
        </w:rPr>
      </w:pPr>
      <w:r>
        <w:rPr>
          <w:rFonts w:hint="eastAsia" w:ascii="仿宋_GB2312" w:hAnsi="仿宋_GB2312" w:eastAsia="仿宋_GB2312" w:cs="仿宋_GB2312"/>
          <w:i w:val="0"/>
          <w:iCs w:val="0"/>
          <w:caps w:val="0"/>
          <w:color w:val="4C5157"/>
          <w:spacing w:val="0"/>
          <w:sz w:val="32"/>
          <w:szCs w:val="32"/>
          <w:u w:val="none"/>
          <w:shd w:val="clear" w:color="0A0000" w:fill="FFFFFF"/>
        </w:rPr>
        <w:t>奖励资金的申报在海南省惠企政策兑现服务系统上操作，实现网上申报、受理、公示、拨付。</w:t>
      </w:r>
    </w:p>
    <w:p>
      <w:pPr>
        <w:pStyle w:val="2"/>
        <w:widowControl/>
        <w:pBdr>
          <w:top w:val="none" w:color="auto" w:sz="0" w:space="0"/>
          <w:left w:val="none" w:color="auto" w:sz="0" w:space="0"/>
          <w:bottom w:val="none" w:color="auto" w:sz="0" w:space="0"/>
          <w:right w:val="none" w:color="auto" w:sz="0" w:space="0"/>
        </w:pBdr>
        <w:wordWrap/>
        <w:adjustRightInd/>
        <w:snapToGrid/>
        <w:spacing w:before="0" w:beforeAutospacing="0" w:after="422" w:afterAutospacing="0" w:line="23" w:lineRule="atLeast"/>
        <w:ind w:left="0" w:leftChars="0" w:right="0" w:firstLine="0" w:firstLineChars="0"/>
        <w:jc w:val="center"/>
        <w:textAlignment w:val="auto"/>
        <w:outlineLvl w:val="9"/>
        <w:rPr>
          <w:rFonts w:hint="eastAsia" w:ascii="黑体" w:hAnsi="黑体" w:eastAsia="黑体" w:cs="黑体"/>
          <w:b w:val="0"/>
          <w:bCs w:val="0"/>
          <w:i w:val="0"/>
          <w:iCs w:val="0"/>
          <w:caps w:val="0"/>
          <w:color w:val="4C5157"/>
          <w:spacing w:val="0"/>
          <w:sz w:val="32"/>
          <w:szCs w:val="32"/>
          <w:u w:val="none"/>
          <w:shd w:val="clear" w:color="0C0000" w:fill="FFFFFF"/>
        </w:rPr>
      </w:pPr>
      <w:r>
        <w:rPr>
          <w:rFonts w:hint="eastAsia" w:ascii="黑体" w:hAnsi="黑体" w:eastAsia="黑体" w:cs="黑体"/>
          <w:b w:val="0"/>
          <w:bCs w:val="0"/>
          <w:i w:val="0"/>
          <w:iCs w:val="0"/>
          <w:caps w:val="0"/>
          <w:color w:val="4C5157"/>
          <w:spacing w:val="0"/>
          <w:sz w:val="32"/>
          <w:szCs w:val="32"/>
          <w:u w:val="none"/>
          <w:shd w:val="clear" w:color="0C0000" w:fill="FFFFFF"/>
        </w:rPr>
        <w:t>第四章  监督与管理</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仿宋_GB2312" w:hAnsi="仿宋_GB2312" w:eastAsia="仿宋_GB2312" w:cs="仿宋_GB2312"/>
          <w:sz w:val="32"/>
          <w:szCs w:val="32"/>
          <w:u w:val="none"/>
        </w:rPr>
      </w:pPr>
      <w:r>
        <w:rPr>
          <w:rFonts w:hint="eastAsia" w:ascii="黑体" w:hAnsi="黑体" w:eastAsia="黑体" w:cs="黑体"/>
          <w:i w:val="0"/>
          <w:iCs w:val="0"/>
          <w:caps w:val="0"/>
          <w:color w:val="4C5157"/>
          <w:spacing w:val="0"/>
          <w:sz w:val="32"/>
          <w:szCs w:val="32"/>
          <w:u w:val="none"/>
          <w:shd w:val="clear" w:color="0A0000" w:fill="FFFFFF"/>
        </w:rPr>
        <w:t>第九条</w:t>
      </w:r>
      <w:r>
        <w:rPr>
          <w:rFonts w:hint="eastAsia" w:ascii="仿宋_GB2312" w:hAnsi="仿宋_GB2312" w:eastAsia="仿宋_GB2312" w:cs="仿宋_GB2312"/>
          <w:i w:val="0"/>
          <w:iCs w:val="0"/>
          <w:caps w:val="0"/>
          <w:color w:val="4C5157"/>
          <w:spacing w:val="0"/>
          <w:sz w:val="32"/>
          <w:szCs w:val="32"/>
          <w:u w:val="none"/>
          <w:shd w:val="clear" w:color="0A0000" w:fill="FFFFFF"/>
        </w:rPr>
        <w:t> 省工业和信息化厅、省财政厅应当按照全面实施预算绩效管理的有关要求，做好年度绩效评价，并加强绩效评价结果应用。</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仿宋_GB2312" w:hAnsi="仿宋_GB2312" w:eastAsia="仿宋_GB2312" w:cs="仿宋_GB2312"/>
          <w:sz w:val="32"/>
          <w:szCs w:val="32"/>
          <w:u w:val="none"/>
        </w:rPr>
      </w:pPr>
      <w:r>
        <w:rPr>
          <w:rFonts w:hint="eastAsia" w:ascii="黑体" w:hAnsi="黑体" w:eastAsia="黑体" w:cs="黑体"/>
          <w:i w:val="0"/>
          <w:iCs w:val="0"/>
          <w:caps w:val="0"/>
          <w:color w:val="4C5157"/>
          <w:spacing w:val="0"/>
          <w:sz w:val="32"/>
          <w:szCs w:val="32"/>
          <w:u w:val="none"/>
          <w:shd w:val="clear" w:color="0A0000" w:fill="FFFFFF"/>
        </w:rPr>
        <w:t>第十条</w:t>
      </w:r>
      <w:r>
        <w:rPr>
          <w:rFonts w:hint="eastAsia" w:ascii="仿宋_GB2312" w:hAnsi="仿宋_GB2312" w:eastAsia="仿宋_GB2312" w:cs="仿宋_GB2312"/>
          <w:i w:val="0"/>
          <w:iCs w:val="0"/>
          <w:caps w:val="0"/>
          <w:color w:val="4C5157"/>
          <w:spacing w:val="0"/>
          <w:sz w:val="32"/>
          <w:szCs w:val="32"/>
          <w:u w:val="none"/>
          <w:shd w:val="clear" w:color="0A0000" w:fill="FFFFFF"/>
        </w:rPr>
        <w:t> 对于提供虚假材料骗取、使用奖励资金的单位，按照《财政违法行为处罚处分条例》等有关法律法规予以追究相关责任，不得申请海南省工业企业小升规奖励资金。</w:t>
      </w:r>
    </w:p>
    <w:p>
      <w:pPr>
        <w:pStyle w:val="2"/>
        <w:widowControl/>
        <w:pBdr>
          <w:top w:val="none" w:color="auto" w:sz="0" w:space="0"/>
          <w:left w:val="none" w:color="auto" w:sz="0" w:space="0"/>
          <w:bottom w:val="none" w:color="auto" w:sz="0" w:space="0"/>
          <w:right w:val="none" w:color="auto" w:sz="0" w:space="0"/>
        </w:pBdr>
        <w:wordWrap/>
        <w:adjustRightInd/>
        <w:snapToGrid/>
        <w:spacing w:before="0" w:beforeAutospacing="0" w:after="422" w:afterAutospacing="0" w:line="23" w:lineRule="atLeast"/>
        <w:ind w:left="0" w:leftChars="0" w:right="0" w:firstLine="0" w:firstLineChars="0"/>
        <w:jc w:val="center"/>
        <w:textAlignment w:val="auto"/>
        <w:outlineLvl w:val="9"/>
        <w:rPr>
          <w:rFonts w:hint="eastAsia" w:ascii="黑体" w:hAnsi="黑体" w:eastAsia="黑体" w:cs="黑体"/>
          <w:b w:val="0"/>
          <w:bCs w:val="0"/>
          <w:i w:val="0"/>
          <w:iCs w:val="0"/>
          <w:caps w:val="0"/>
          <w:color w:val="4C5157"/>
          <w:spacing w:val="0"/>
          <w:sz w:val="32"/>
          <w:szCs w:val="32"/>
          <w:u w:val="none"/>
          <w:shd w:val="clear" w:color="0C0000" w:fill="FFFFFF"/>
        </w:rPr>
      </w:pPr>
      <w:r>
        <w:rPr>
          <w:rFonts w:hint="eastAsia" w:ascii="黑体" w:hAnsi="黑体" w:eastAsia="黑体" w:cs="黑体"/>
          <w:b w:val="0"/>
          <w:bCs w:val="0"/>
          <w:i w:val="0"/>
          <w:iCs w:val="0"/>
          <w:caps w:val="0"/>
          <w:color w:val="4C5157"/>
          <w:spacing w:val="0"/>
          <w:sz w:val="32"/>
          <w:szCs w:val="32"/>
          <w:u w:val="none"/>
          <w:shd w:val="clear" w:color="0C0000" w:fill="FFFFFF"/>
        </w:rPr>
        <w:t>第五章  附则</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仿宋_GB2312" w:hAnsi="仿宋_GB2312" w:eastAsia="仿宋_GB2312" w:cs="仿宋_GB2312"/>
          <w:sz w:val="32"/>
          <w:szCs w:val="32"/>
          <w:u w:val="none"/>
        </w:rPr>
      </w:pPr>
      <w:r>
        <w:rPr>
          <w:rFonts w:hint="eastAsia" w:ascii="黑体" w:hAnsi="黑体" w:eastAsia="黑体" w:cs="黑体"/>
          <w:i w:val="0"/>
          <w:iCs w:val="0"/>
          <w:caps w:val="0"/>
          <w:color w:val="4C5157"/>
          <w:spacing w:val="0"/>
          <w:sz w:val="32"/>
          <w:szCs w:val="32"/>
          <w:u w:val="none"/>
          <w:shd w:val="clear" w:color="0A0000" w:fill="FFFFFF"/>
        </w:rPr>
        <w:t>第十一条</w:t>
      </w:r>
      <w:r>
        <w:rPr>
          <w:rFonts w:hint="eastAsia" w:ascii="仿宋_GB2312" w:hAnsi="仿宋_GB2312" w:eastAsia="仿宋_GB2312" w:cs="仿宋_GB2312"/>
          <w:i w:val="0"/>
          <w:iCs w:val="0"/>
          <w:caps w:val="0"/>
          <w:color w:val="4C5157"/>
          <w:spacing w:val="0"/>
          <w:sz w:val="32"/>
          <w:szCs w:val="32"/>
          <w:u w:val="none"/>
          <w:shd w:val="clear" w:color="0A0000" w:fill="FFFFFF"/>
        </w:rPr>
        <w:t> 本实施细则由省工业和信息化厅会同省财政厅负责解释。</w:t>
      </w:r>
    </w:p>
    <w:p>
      <w:pPr>
        <w:pStyle w:val="2"/>
        <w:widowControl/>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仿宋_GB2312" w:hAnsi="仿宋_GB2312" w:eastAsia="仿宋_GB2312" w:cs="仿宋_GB2312"/>
          <w:sz w:val="32"/>
          <w:szCs w:val="32"/>
          <w:u w:val="none"/>
        </w:rPr>
      </w:pPr>
      <w:r>
        <w:rPr>
          <w:rFonts w:hint="eastAsia" w:ascii="黑体" w:hAnsi="黑体" w:eastAsia="黑体" w:cs="黑体"/>
          <w:i w:val="0"/>
          <w:iCs w:val="0"/>
          <w:caps w:val="0"/>
          <w:color w:val="4C5157"/>
          <w:spacing w:val="0"/>
          <w:sz w:val="32"/>
          <w:szCs w:val="32"/>
          <w:u w:val="none"/>
          <w:shd w:val="clear" w:color="0A0000" w:fill="FFFFFF"/>
        </w:rPr>
        <w:t>第十二条</w:t>
      </w:r>
      <w:r>
        <w:rPr>
          <w:rFonts w:hint="eastAsia" w:ascii="仿宋_GB2312" w:hAnsi="仿宋_GB2312" w:eastAsia="仿宋_GB2312" w:cs="仿宋_GB2312"/>
          <w:i w:val="0"/>
          <w:iCs w:val="0"/>
          <w:caps w:val="0"/>
          <w:color w:val="4C5157"/>
          <w:spacing w:val="0"/>
          <w:sz w:val="32"/>
          <w:szCs w:val="32"/>
          <w:u w:val="none"/>
          <w:shd w:val="clear" w:color="0A0000" w:fill="FFFFFF"/>
        </w:rPr>
        <w:t> 本实施细则自2022年5月20日起施行，实施至2025年12月31日。</w:t>
      </w:r>
      <w:bookmarkStart w:id="0" w:name="_GoBack"/>
      <w:bookmarkEnd w:id="0"/>
    </w:p>
    <w:p>
      <w:pPr>
        <w:rPr>
          <w:rFonts w:hint="eastAsia" w:ascii="仿宋_GB2312" w:hAnsi="仿宋_GB2312" w:eastAsia="仿宋_GB2312" w:cs="仿宋_GB2312"/>
          <w:sz w:val="32"/>
          <w:szCs w:val="32"/>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TJiMTYwZDdkMDAwYTA4ZTQ1YWNhMjY2ZDdmNDkxZDU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paragraph" w:styleId="2">
    <w:name w:val="Normal (Web)"/>
    <w:basedOn w:val="1"/>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1374</Words>
  <Characters>1424</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2023-05-10T08:15:00Z</dcterms:created>
  <dc:creator>ursa009</dc:creator>
  <cp:lastModifiedBy>ursa009</cp:lastModifiedBy>
  <dcterms:modified xsi:type="dcterms:W3CDTF">2023-05-25T09:29:59Z</dcterms:modified>
  <dc:title>海南省工业和信息化厅  海南省财政厅_x000B_关于印发海南省工业企业小升规奖励资金_x000B_管理实施细则的通知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58CB57773E474C0A955ED466C918300E_12</vt:lpwstr>
  </property>
</Properties>
</file>